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6"/>
        <w:gridCol w:w="8488"/>
      </w:tblGrid>
      <w:tr w:rsidR="00B26F9A" w:rsidRPr="00B26F9A" w:rsidTr="00B26F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6F9A" w:rsidRPr="00B26F9A" w:rsidRDefault="00B26F9A" w:rsidP="00B2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26F9A" w:rsidRPr="00B26F9A" w:rsidRDefault="00B26F9A" w:rsidP="00B26F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 w:rsidRPr="00B26F9A">
              <w:rPr>
                <w:rFonts w:ascii="Arial" w:eastAsia="Times New Roman" w:hAnsi="Arial" w:cs="Arial"/>
                <w:color w:val="000000"/>
                <w:sz w:val="28"/>
                <w:szCs w:val="28"/>
                <w:lang w:eastAsia="pt-BR"/>
              </w:rPr>
              <w:t>PODER JUDICIÁRIO</w:t>
            </w:r>
            <w:r w:rsidRPr="00B26F9A">
              <w:rPr>
                <w:rFonts w:ascii="Arial" w:eastAsia="Times New Roman" w:hAnsi="Arial" w:cs="Arial"/>
                <w:color w:val="000000"/>
                <w:sz w:val="28"/>
                <w:lang w:eastAsia="pt-BR"/>
              </w:rPr>
              <w:t> </w:t>
            </w:r>
            <w:r w:rsidRPr="00B26F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Pr="00B26F9A">
              <w:rPr>
                <w:rFonts w:ascii="Arial" w:eastAsia="Times New Roman" w:hAnsi="Arial" w:cs="Arial"/>
                <w:color w:val="000000"/>
                <w:sz w:val="26"/>
                <w:szCs w:val="26"/>
                <w:lang w:eastAsia="pt-BR"/>
              </w:rPr>
              <w:t>JUSTIÇA DO TRABALHO</w:t>
            </w:r>
            <w:r w:rsidRPr="00B26F9A">
              <w:rPr>
                <w:rFonts w:ascii="Arial" w:eastAsia="Times New Roman" w:hAnsi="Arial" w:cs="Arial"/>
                <w:color w:val="000000"/>
                <w:sz w:val="26"/>
                <w:lang w:eastAsia="pt-BR"/>
              </w:rPr>
              <w:t> </w:t>
            </w:r>
            <w:r w:rsidRPr="00B26F9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br/>
            </w:r>
            <w:r w:rsidRPr="00B26F9A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TRIBUNAL REGIONAL DO TRABALHO DA 2ª REGIÃO </w:t>
            </w:r>
          </w:p>
        </w:tc>
      </w:tr>
    </w:tbl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PROCESSO TRT/SP N</w:t>
      </w:r>
      <w:r w:rsidRPr="00B26F9A">
        <w:rPr>
          <w:rFonts w:ascii="Arial" w:eastAsia="Times New Roman" w:hAnsi="Arial" w:cs="Arial"/>
          <w:color w:val="000000"/>
          <w:sz w:val="24"/>
          <w:szCs w:val="24"/>
          <w:u w:val="single"/>
          <w:lang w:eastAsia="pt-BR"/>
        </w:rPr>
        <w:t>o</w:t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1000577-73.2015.5.02.0609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PROCESSO JUDICIAL ELETRÔNICO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RECURSO ORDINÁRIO DA 9ª VT DA ZONA LESTE DE SÃO PAULO/SP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RECORRENTE: CRISTIANO ANDRE DA SILVA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RECORRIDO: CARTÓRIO DE REG. CIVIL DAS PESSOAS NAT. 3 SUBDIST PENHA DE FRANCA</w:t>
      </w: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26F9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26F9A" w:rsidRPr="00B26F9A" w:rsidRDefault="00B26F9A" w:rsidP="00B26F9A">
      <w:pPr>
        <w:spacing w:before="60" w:after="60" w:line="261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RELATORA: THAÍS VERRASTRO DE ALMEIDA</w:t>
      </w: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EMENTA</w:t>
      </w:r>
    </w:p>
    <w:p w:rsidR="00B26F9A" w:rsidRPr="00B26F9A" w:rsidRDefault="00B26F9A" w:rsidP="00B26F9A">
      <w:pPr>
        <w:spacing w:before="100" w:beforeAutospacing="1" w:after="120" w:line="24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JUSTA CAUSA. MAU PROCEDIMENTO. MUNUS PUBLICO. No exercício do </w:t>
      </w:r>
      <w:proofErr w:type="spell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munus</w:t>
      </w:r>
      <w:proofErr w:type="spell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publico o reclamado tem por dever cumprir fielmente os preceitos de Direito e da moral administrativa que regem a sua atuação. No caso concreto, a conduta do autor malferiu tais preceitos. O fato de o empregado ter trocado etiquetas que se </w:t>
      </w:r>
      <w:proofErr w:type="gram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prestavam</w:t>
      </w:r>
      <w:proofErr w:type="gram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 declarar a autenticidade de documentos, mesmo ciente de que esse não era o procedimento correto, resultou em quebra da confiança por parte do empregador. De não se perder de vista que é a correção de procedimentos que norteia a transparência e a segurança no exercício da função pública. Recurso ordinário do autor a que se nega provimento.</w:t>
      </w: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RELATÓRIO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Inconformado com os termos da </w:t>
      </w:r>
      <w:proofErr w:type="spellStart"/>
      <w:proofErr w:type="gram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spellEnd"/>
      <w:proofErr w:type="gram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sentença (ID 20125f2, que julgou Improcedente a reclamação trabalhista, recorre ordinariamente o reclamante com as razões expressas no ID ca1026c, em que se insurge quanto ao decidido acerca de justa causa. Tempestividade observada. Preparo dispensado. </w:t>
      </w:r>
      <w:proofErr w:type="spell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Contrarrazões</w:t>
      </w:r>
      <w:proofErr w:type="spell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expressas no ID 8d1f631 em que refere má-fé.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 o relatório.</w:t>
      </w: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FUNDAMENTAÇÃO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VOTO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Conhece-se do recurso, eis que presentes os pressupostos de admissibilidade.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JUSTA CAUSA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Insurge-se o recorrente quanto ao decidido acerca de justa causa. Assevera que o equívoco de procedimento efetuado pelo autor não enseja a aplicação da pena máxima, mormente a se considerar o histórico funcional do reclamante.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alegação defensiva para caracterização da justa causa reside no fato de o autor ter removido uma etiqueta do livro de autenticação de documentos, colocando outra no lugar e jogando fora </w:t>
      </w:r>
      <w:proofErr w:type="gram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original, procedimento que o reclamante tinha ciência ir contra as normas da corregedoria a qual está sujeita o reclamado, Cartório de Registro Públicos.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 em depoimento referiu: "</w:t>
      </w:r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confirma ter substituído a etiqueta do Sr. Vanderlei Pereira, cerca de um mês após a emissão equivocada; que a Sra. </w:t>
      </w:r>
      <w:proofErr w:type="spell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Wallercia</w:t>
      </w:r>
      <w:proofErr w:type="spell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já havia corrigido à mão a etiqueta com o erro, mas o depoente verificou que também estavam errados os números do RG e CPF; que, em razão disso, corrigiu as informações no sistema, o que gerou outra etiqueta; que no intuito de corrigir, trocou as etiquetas do livro de reconhecimento por autenticidade; que o depoente recebia as cartilhas com as normas da Corregedoria para o exercício de sua função; que o depoente tinha conhecimento de que não era permitida a retirada de etiquetas já coladas, mas como corrigiu o erro no sistema, decidiu fazer a troca das etiquetas no livro; que no mesmo dia da substituição, 03/03/2015, o depoente imprimiu </w:t>
      </w:r>
      <w:proofErr w:type="gram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4</w:t>
      </w:r>
      <w:proofErr w:type="gram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etiquetas com erros; que nega que estava fazendo testes; que uma das etiquetas é a que usou para substituir o termo antigo do Sr. Vanderlei; que a etiqueta antiga rasgou-se na retirada e portanto foi inutilizada, mas o depoente anotou o número para informar posteriormente no portal extrajudicial; que as três outras etiquetas decorreram de uma emissão com erros e foram coladas no livro, de cabeça para baixo, abaixo da etiqueta retificada; que o depoente somente rasgou e inutilizou a segunda via dessas três etiquetas, precisamente, as que não contêm numeração e que deveriam ser coladas no documento do cliente".(ID 803e4e0).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testemunha trazida pela reclamada referiu: "</w:t>
      </w:r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que no início de março de 2015 a depoente presenciou o reclamante inserindo dados no sistema do cartório, na PASTA TEMP, com imediata impressão de etiquetas; que a depoente olhou na tela do computador que ele utilizava, inclusive percebendo que continham datas retroativas; que a depoente desconfiou porque nenhum cartorário trabalha com a PASTA TEMP, destinada exclusivamente à prestadora de serviços de informática </w:t>
      </w:r>
      <w:proofErr w:type="spell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Argon</w:t>
      </w:r>
      <w:proofErr w:type="spell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; que a depoente questionou o reclamante, que respondeu que estava fazendo meros testes na impressora; que a desconfiança da depoente aumentou porque a impressora não apresentava nenhum problema e porque o reclamante escondia as etiquetas impressas embaixo de um borrachão preto; que a depoente comunicou o fato à escrivã substituta; que a partir de então não teve mais informações sobre </w:t>
      </w:r>
      <w:proofErr w:type="gram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 justificativas</w:t>
      </w:r>
      <w:proofErr w:type="gram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apresentadas pelo reclamante; que sabe que uma das etiquetas foi usada para substituir um termo que já havia sido corrigido à mão, em fevereiro de 2015; que não sabe o que ocorreu com as demais etiquetas; que nunca ocorreu substituição de etiquetas anteriormente, até mesmo porque isso é terminantemente proibido; que não há necessidade de senha especial para o acesso à PASTA TEMP, mas a depoente reitera que os escreventes não executam nenhum trabalho nessa pasta."(ID 803e4e0).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autor refere textualmente em depoimento que tinha ciência das normas da Corregedoria, bem como que sabia que não era permitida a troca de etiquetas já emitidas, o que afasta a alegação lançada em razões de recurso de que não houve confissão nesse sentido.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ausência de treinamento alegada não restou comprovada e ademais não seria suficiente a minimizar o erro de procedimento efetuado pelo empregado, uma vez que esse confirmou ter conhecimento de que não podia trocar as etiquetas.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Releva tratar-se de pessoa esclarecida investida de função com caráter público, razão pela qual o procedimento não adequado, a despeito de seu histórico funcional ilibado, autoriza a aplicação da justa causa sem observância da gradação de penalidades, consoante previsto na alínea "b", do artigo 482 da CLT.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exercício do </w:t>
      </w:r>
      <w:proofErr w:type="spell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munus</w:t>
      </w:r>
      <w:proofErr w:type="spellEnd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 </w:t>
      </w:r>
      <w:proofErr w:type="spellStart"/>
      <w:r w:rsidRPr="00B26F9A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publico</w:t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proofErr w:type="spell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reclamado tem por dever cumprir fielmente os preceitos de Direito e da moral administrativa que regem a sua atuação.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caso concreto, a conduta do autor malferiu tais preceitos. O fato de o empregado ter trocado etiquetas que se </w:t>
      </w:r>
      <w:proofErr w:type="gram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prestavam</w:t>
      </w:r>
      <w:proofErr w:type="gram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declarar a autenticidade de documentos, mesmo ciente de que esse não era o procedimento correto, resultou em quebra da confiança por parte do empregador.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não se perder de vista que é a correção de procedimentos que norteia a transparência e a segurança no exercício da função pública.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contexto, é de se manter a justa causa.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Nada a modificar.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LITIGÃNCIA DE MÁ-FÉ (CONTRARRAZÕES)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Não vislumbro a má-fé do reclamante que apenas exerceu o direito de ação constitucionalmente previsto.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Descabe a pretensão.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Presidiu o julgamento a </w:t>
      </w:r>
      <w:proofErr w:type="spell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Exma</w:t>
      </w:r>
      <w:proofErr w:type="spell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gram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Sra.</w:t>
      </w:r>
      <w:proofErr w:type="gram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Desembargadora MARIA DE LOURDES ANTONIO.</w:t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                                         Tomaram parte no julgamento os </w:t>
      </w:r>
      <w:proofErr w:type="spell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Exmos</w:t>
      </w:r>
      <w:proofErr w:type="spell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Srs. THAÍS VERRASTRO DE ALMEIDA (relator), FLÁVIO VILLANI MACEDO (2º votante) e MARIA APARECIDA NORCE FURTADO (3º votante).</w:t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                                            Presente o ilustre representante do Ministério Público do Trabalho.</w:t>
      </w:r>
    </w:p>
    <w:p w:rsidR="00B26F9A" w:rsidRPr="00B26F9A" w:rsidRDefault="00B26F9A" w:rsidP="00B26F9A">
      <w:pPr>
        <w:spacing w:before="100" w:beforeAutospacing="1" w:line="380" w:lineRule="atLeast"/>
        <w:ind w:firstLine="271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ANTE O EXPOSTO</w:t>
      </w:r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ACORDAM os Magistrados integrantes da 17ª Turma do Tribunal Regional do Trabalho da 2ª Região em: Por unanimidade de votos, CONHECER do recurso interposto e, no mérito, NEGAR-LHE PROVIMENTO para manter íntegra a </w:t>
      </w:r>
      <w:proofErr w:type="spellStart"/>
      <w:proofErr w:type="gramStart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spellEnd"/>
      <w:proofErr w:type="gramEnd"/>
      <w:r w:rsidRPr="00B26F9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sentença recorrida.</w:t>
      </w:r>
    </w:p>
    <w:p w:rsidR="00B26F9A" w:rsidRPr="00B26F9A" w:rsidRDefault="00B26F9A" w:rsidP="00B26F9A">
      <w:pPr>
        <w:spacing w:after="0" w:line="23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 </w:t>
      </w:r>
    </w:p>
    <w:p w:rsidR="00B26F9A" w:rsidRPr="00B26F9A" w:rsidRDefault="00B26F9A" w:rsidP="00B26F9A">
      <w:pPr>
        <w:spacing w:after="0" w:line="235" w:lineRule="atLeast"/>
        <w:jc w:val="both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 </w:t>
      </w:r>
    </w:p>
    <w:p w:rsidR="00B26F9A" w:rsidRPr="00B26F9A" w:rsidRDefault="00B26F9A" w:rsidP="00B26F9A">
      <w:pPr>
        <w:spacing w:after="0" w:line="235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THAÍS VERRASTRO DE ALMEIDA</w:t>
      </w:r>
    </w:p>
    <w:p w:rsidR="00B26F9A" w:rsidRPr="00B26F9A" w:rsidRDefault="00B26F9A" w:rsidP="00B26F9A">
      <w:pPr>
        <w:spacing w:after="0" w:line="235" w:lineRule="atLeast"/>
        <w:jc w:val="center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  <w:r w:rsidRPr="00B26F9A">
        <w:rPr>
          <w:rFonts w:ascii="Arial" w:eastAsia="Times New Roman" w:hAnsi="Arial" w:cs="Arial"/>
          <w:b/>
          <w:bCs/>
          <w:color w:val="000000"/>
          <w:sz w:val="26"/>
          <w:lang w:eastAsia="pt-BR"/>
        </w:rPr>
        <w:t>Relatora</w:t>
      </w:r>
    </w:p>
    <w:p w:rsidR="00B26F9A" w:rsidRDefault="00B26F9A" w:rsidP="00B26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B26F9A" w:rsidRPr="00B26F9A" w:rsidRDefault="00B26F9A" w:rsidP="00B26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26F9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C10D3" w:rsidRDefault="006C10D3"/>
    <w:sectPr w:rsidR="006C10D3" w:rsidSect="006C10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6F9A"/>
    <w:rsid w:val="006C10D3"/>
    <w:rsid w:val="00B26F9A"/>
    <w:rsid w:val="00D7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0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B26F9A"/>
  </w:style>
  <w:style w:type="paragraph" w:styleId="NormalWeb">
    <w:name w:val="Normal (Web)"/>
    <w:basedOn w:val="Normal"/>
    <w:uiPriority w:val="99"/>
    <w:semiHidden/>
    <w:unhideWhenUsed/>
    <w:rsid w:val="00B2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26F9A"/>
    <w:rPr>
      <w:b/>
      <w:bCs/>
    </w:rPr>
  </w:style>
  <w:style w:type="character" w:styleId="nfase">
    <w:name w:val="Emphasis"/>
    <w:basedOn w:val="Fontepargpadro"/>
    <w:uiPriority w:val="20"/>
    <w:qFormat/>
    <w:rsid w:val="00B26F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9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4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3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1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3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1117</Words>
  <Characters>6032</Characters>
  <Application>Microsoft Office Word</Application>
  <DocSecurity>0</DocSecurity>
  <Lines>50</Lines>
  <Paragraphs>14</Paragraphs>
  <ScaleCrop>false</ScaleCrop>
  <Company/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cartorio</dc:creator>
  <cp:lastModifiedBy>cartorio</cp:lastModifiedBy>
  <cp:revision>1</cp:revision>
  <dcterms:created xsi:type="dcterms:W3CDTF">2016-11-25T15:45:00Z</dcterms:created>
  <dcterms:modified xsi:type="dcterms:W3CDTF">2016-11-25T15:45:00Z</dcterms:modified>
</cp:coreProperties>
</file>