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6" w:rsidRPr="008E37C1" w:rsidRDefault="00492CF6" w:rsidP="00492CF6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V</w:t>
      </w:r>
    </w:p>
    <w:p w:rsidR="00492CF6" w:rsidRPr="008E37C1" w:rsidRDefault="00492CF6" w:rsidP="00492CF6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:rsidR="00492CF6" w:rsidRPr="008E37C1" w:rsidRDefault="00492CF6" w:rsidP="00492CF6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:rsidR="00492CF6" w:rsidRPr="008E37C1" w:rsidRDefault="00492CF6" w:rsidP="00492CF6">
      <w:pPr>
        <w:spacing w:line="360" w:lineRule="auto"/>
        <w:jc w:val="center"/>
        <w:rPr>
          <w:rStyle w:val="mw-headline"/>
          <w:rFonts w:ascii="Trebuchet MS" w:hAnsi="Trebuchet MS"/>
          <w:b/>
          <w:bCs/>
        </w:rPr>
      </w:pPr>
      <w:bookmarkStart w:id="0" w:name="_Toc306635983"/>
      <w:r w:rsidRPr="008E37C1">
        <w:rPr>
          <w:rStyle w:val="mw-headline"/>
          <w:rFonts w:ascii="Trebuchet MS" w:hAnsi="Trebuchet MS"/>
          <w:bCs/>
        </w:rPr>
        <w:t xml:space="preserve">POLÍTICA </w:t>
      </w:r>
      <w:bookmarkEnd w:id="0"/>
      <w:r w:rsidRPr="008E37C1">
        <w:rPr>
          <w:rStyle w:val="mw-headline"/>
          <w:rFonts w:ascii="Trebuchet MS" w:hAnsi="Trebuchet MS"/>
          <w:bCs/>
        </w:rPr>
        <w:t>DO SISTEMA DE GESTÃO DE SEGURANÇA DA INFORMAÇÃO E PRIVACIDADE - SGSI</w:t>
      </w:r>
    </w:p>
    <w:p w:rsidR="00492CF6" w:rsidRPr="008E37C1" w:rsidRDefault="00492CF6" w:rsidP="00492CF6">
      <w:pPr>
        <w:spacing w:line="360" w:lineRule="auto"/>
        <w:jc w:val="center"/>
        <w:rPr>
          <w:rFonts w:ascii="Trebuchet MS" w:eastAsia="Times New Roman" w:hAnsi="Trebuchet MS"/>
          <w:b/>
          <w:bCs/>
          <w:sz w:val="24"/>
          <w:szCs w:val="24"/>
        </w:rPr>
      </w:pPr>
      <w:r w:rsidRPr="008E37C1">
        <w:rPr>
          <w:rStyle w:val="mw-headline"/>
          <w:rFonts w:ascii="Trebuchet MS" w:hAnsi="Trebuchet MS"/>
          <w:bCs/>
        </w:rPr>
        <w:t xml:space="preserve">(Item 132.2 e 132.4, I e II </w:t>
      </w:r>
      <w:r w:rsidRPr="008E37C1">
        <w:rPr>
          <w:rStyle w:val="mw-headline"/>
          <w:rFonts w:ascii="Trebuchet MS" w:eastAsia="Times New Roman" w:hAnsi="Trebuchet MS"/>
          <w:bCs/>
        </w:rPr>
        <w:t>do Cap. XIII das NSCG/SP)</w:t>
      </w:r>
    </w:p>
    <w:p w:rsidR="00492CF6" w:rsidRPr="008E37C1" w:rsidRDefault="00492CF6" w:rsidP="00492CF6">
      <w:pPr>
        <w:spacing w:line="360" w:lineRule="auto"/>
        <w:jc w:val="both"/>
        <w:rPr>
          <w:rFonts w:ascii="Trebuchet MS" w:hAnsi="Trebuchet MS" w:cstheme="minorHAnsi"/>
          <w:b/>
          <w:bCs/>
          <w:sz w:val="24"/>
          <w:szCs w:val="24"/>
        </w:rPr>
      </w:pPr>
    </w:p>
    <w:p w:rsidR="00492CF6" w:rsidRPr="008E37C1" w:rsidRDefault="00492CF6" w:rsidP="00492CF6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8E37C1">
        <w:rPr>
          <w:rFonts w:ascii="Trebuchet MS" w:hAnsi="Trebuchet MS"/>
          <w:b/>
          <w:bCs/>
          <w:sz w:val="24"/>
          <w:szCs w:val="24"/>
        </w:rPr>
        <w:t>Sumário</w:t>
      </w:r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r w:rsidRPr="008E37C1">
        <w:rPr>
          <w:rFonts w:ascii="Trebuchet MS" w:hAnsi="Trebuchet MS"/>
          <w:sz w:val="24"/>
          <w:szCs w:val="24"/>
        </w:rPr>
        <w:fldChar w:fldCharType="begin"/>
      </w:r>
      <w:r w:rsidRPr="008E37C1">
        <w:rPr>
          <w:rFonts w:ascii="Trebuchet MS" w:hAnsi="Trebuchet MS"/>
          <w:sz w:val="24"/>
          <w:szCs w:val="24"/>
        </w:rPr>
        <w:instrText xml:space="preserve"> TOC \o "1-3" \h \z \u </w:instrText>
      </w:r>
      <w:r w:rsidRPr="008E37C1">
        <w:rPr>
          <w:rFonts w:ascii="Trebuchet MS" w:hAnsi="Trebuchet MS"/>
          <w:sz w:val="24"/>
          <w:szCs w:val="24"/>
        </w:rPr>
        <w:fldChar w:fldCharType="separate"/>
      </w:r>
      <w:hyperlink w:anchor="_Toc56098278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1.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OBJETIVO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_Toc56098278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79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2.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ABRANGÊNCIA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_Toc56098279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80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3.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</w:rPr>
          <w:t>DOCUMENTOS ASSOCIADOS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_Toc56098280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81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4.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DIRETRIZES DE GOVERNANÇA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_Toc56098281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82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5.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ORGANIZAÇÃO DO CSI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_Toc56098282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83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6.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PAPÉIS E RESPONSABILIDADES DO CSI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_Toc56098283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3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eastAsia="pt-BR"/>
        </w:rPr>
      </w:pPr>
      <w:hyperlink w:anchor="_Toc56098284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7.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</w:rPr>
          <w:t>DISPOSIÇÕES FINAIS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instrText xml:space="preserve"> PAGEREF _Toc56098284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t>4</w:t>
        </w:r>
        <w:r w:rsidRPr="008E37C1">
          <w:rPr>
            <w:rFonts w:ascii="Trebuchet MS" w:hAnsi="Trebuchet MS"/>
            <w:noProof/>
            <w:webHidden/>
            <w:sz w:val="24"/>
            <w:szCs w:val="24"/>
          </w:rPr>
          <w:fldChar w:fldCharType="end"/>
        </w:r>
      </w:hyperlink>
    </w:p>
    <w:p w:rsidR="00492CF6" w:rsidRPr="008E37C1" w:rsidRDefault="00492CF6" w:rsidP="00492CF6">
      <w:pPr>
        <w:pStyle w:val="Sumrio1"/>
        <w:tabs>
          <w:tab w:val="left" w:pos="440"/>
          <w:tab w:val="right" w:leader="dot" w:pos="9062"/>
        </w:tabs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fldChar w:fldCharType="end"/>
      </w:r>
    </w:p>
    <w:p w:rsidR="00492CF6" w:rsidRPr="008E37C1" w:rsidRDefault="00492CF6" w:rsidP="00492CF6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br w:type="page"/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1" w:name="_Toc56098278"/>
      <w:r w:rsidRPr="008E37C1">
        <w:rPr>
          <w:rFonts w:ascii="Trebuchet MS" w:hAnsi="Trebuchet MS"/>
          <w:sz w:val="24"/>
          <w:szCs w:val="24"/>
        </w:rPr>
        <w:lastRenderedPageBreak/>
        <w:t>OBJETIVO</w:t>
      </w:r>
      <w:bookmarkEnd w:id="1"/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Definir a organização interna da estrutura de governança do Sistema de Gestão de Segurança da Informação e Privacidade (SGSI)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Sistema de Gestão de Segurança da Informação e o Sistema de Gestão de Privacidade, será denominado SGSI em todas as documentações.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Atender à Lei de Registros Públicos, Lei n. 8935/1994, Lei n.11.977/2009, Lei 13.709/2018, Normas de Serviço Extrajudicial da Corregedoria Geral do Estado de São Paulo, Provimento 74/2018 e Provimento 88/2019 e Provimento 23/2020 da Corregedoria Geral de Justiça do Estado de São Paulo.</w:t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2" w:name="_Toc56098279"/>
      <w:r w:rsidRPr="008E37C1">
        <w:rPr>
          <w:rFonts w:ascii="Trebuchet MS" w:hAnsi="Trebuchet MS"/>
          <w:sz w:val="24"/>
          <w:szCs w:val="24"/>
        </w:rPr>
        <w:t>ABRANGÊNCIA</w:t>
      </w:r>
      <w:bookmarkEnd w:id="2"/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Esta Norma é um documento interno, com valor jurídico e aplicabilidade imediata, plena e indistinta. Ela deve ser de conhecimento e aplicação exclusiva aos colaboradores formalmente nomeados como membros integrantes do Comitê de Segurança da Informação e Privacidade (CSI) e aos prestadores de serviços de Tecnologia da Informação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serventia].</w:t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z w:val="24"/>
          <w:szCs w:val="24"/>
        </w:rPr>
      </w:pPr>
      <w:bookmarkStart w:id="3" w:name="_Toc56098280"/>
      <w:r w:rsidRPr="008E37C1">
        <w:rPr>
          <w:rFonts w:ascii="Trebuchet MS" w:hAnsi="Trebuchet MS"/>
          <w:sz w:val="24"/>
          <w:szCs w:val="24"/>
        </w:rPr>
        <w:t>DOCUMENTOS ASSOCIADOS</w:t>
      </w:r>
      <w:bookmarkEnd w:id="3"/>
    </w:p>
    <w:p w:rsidR="00492CF6" w:rsidRPr="008E37C1" w:rsidRDefault="00492CF6" w:rsidP="00492CF6">
      <w:pPr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Política de Segurança da Informação</w:t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napToGrid w:val="0"/>
          <w:sz w:val="24"/>
          <w:szCs w:val="24"/>
        </w:rPr>
      </w:pPr>
      <w:bookmarkStart w:id="4" w:name="_Toc29377099"/>
      <w:bookmarkStart w:id="5" w:name="_Toc56098281"/>
      <w:r w:rsidRPr="008E37C1">
        <w:rPr>
          <w:rFonts w:ascii="Trebuchet MS" w:hAnsi="Trebuchet MS"/>
          <w:snapToGrid w:val="0"/>
          <w:sz w:val="24"/>
          <w:szCs w:val="24"/>
        </w:rPr>
        <w:t>DIRETRIZES DE GOVERNANÇA</w:t>
      </w:r>
      <w:bookmarkEnd w:id="4"/>
      <w:bookmarkEnd w:id="5"/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6" w:name="_Toc103594689"/>
      <w:r w:rsidRPr="008E37C1">
        <w:rPr>
          <w:rFonts w:ascii="Trebuchet MS" w:hAnsi="Trebuchet MS"/>
          <w:sz w:val="24"/>
          <w:szCs w:val="24"/>
        </w:rPr>
        <w:t xml:space="preserve">O SGSI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serventia],</w:t>
      </w:r>
      <w:r w:rsidRPr="008E37C1">
        <w:rPr>
          <w:rFonts w:ascii="Trebuchet MS" w:hAnsi="Trebuchet MS"/>
          <w:sz w:val="24"/>
          <w:szCs w:val="24"/>
        </w:rPr>
        <w:t xml:space="preserve"> conforme estipulado na Política de Segurança da Informação (PSI), deve dispor de uma estrutura formalmente constituída de governança, através do Comitê de Segurança da Informação e Privacidade (CSI).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O CSI tem o papel fundamental de estipular e garantir a aderência às diretrizes da segurança da informação e privacidade de dados, além de auxiliar no estabelecimento de controles de segurança adequados para cada área e processo de negócio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serventia].</w:t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napToGrid w:val="0"/>
          <w:sz w:val="24"/>
          <w:szCs w:val="24"/>
        </w:rPr>
      </w:pPr>
      <w:bookmarkStart w:id="7" w:name="_Toc29377100"/>
      <w:bookmarkStart w:id="8" w:name="_Toc56098282"/>
      <w:r w:rsidRPr="008E37C1">
        <w:rPr>
          <w:rFonts w:ascii="Trebuchet MS" w:hAnsi="Trebuchet MS"/>
          <w:snapToGrid w:val="0"/>
          <w:sz w:val="24"/>
          <w:szCs w:val="24"/>
        </w:rPr>
        <w:t>ORGANIZAÇÃO DO CSI</w:t>
      </w:r>
      <w:bookmarkEnd w:id="7"/>
      <w:bookmarkEnd w:id="8"/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O CSI é um grupo de trabalho multidisciplinar e composto, obrigatoriamente, por representantes </w:t>
      </w:r>
      <w:r w:rsidRPr="008E37C1">
        <w:rPr>
          <w:rFonts w:ascii="Trebuchet MS" w:hAnsi="Trebuchet MS"/>
          <w:color w:val="000000" w:themeColor="text1"/>
          <w:sz w:val="24"/>
          <w:szCs w:val="24"/>
        </w:rPr>
        <w:t>dos seguintes setores de negócio:</w:t>
      </w:r>
    </w:p>
    <w:p w:rsidR="00492CF6" w:rsidRPr="008E37C1" w:rsidRDefault="00492CF6" w:rsidP="00492CF6">
      <w:pPr>
        <w:pStyle w:val="PargrafodaLista1"/>
        <w:numPr>
          <w:ilvl w:val="1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eastAsia="pt-BR"/>
        </w:rPr>
      </w:pPr>
      <w:r w:rsidRPr="008E37C1">
        <w:rPr>
          <w:rFonts w:ascii="Trebuchet MS" w:hAnsi="Trebuchet MS" w:cstheme="minorHAnsi"/>
          <w:color w:val="000000" w:themeColor="text1"/>
          <w:sz w:val="24"/>
          <w:szCs w:val="24"/>
        </w:rPr>
        <w:t>Tabelião;</w:t>
      </w:r>
    </w:p>
    <w:p w:rsidR="00492CF6" w:rsidRPr="008E37C1" w:rsidRDefault="00492CF6" w:rsidP="00492CF6">
      <w:pPr>
        <w:pStyle w:val="PargrafodaLista1"/>
        <w:numPr>
          <w:ilvl w:val="1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eastAsia="pt-BR"/>
        </w:rPr>
      </w:pPr>
      <w:r w:rsidRPr="008E37C1">
        <w:rPr>
          <w:rFonts w:ascii="Trebuchet MS" w:hAnsi="Trebuchet MS" w:cstheme="minorHAnsi"/>
          <w:color w:val="000000" w:themeColor="text1"/>
          <w:sz w:val="24"/>
          <w:szCs w:val="24"/>
        </w:rPr>
        <w:t>Substitutos</w:t>
      </w:r>
    </w:p>
    <w:p w:rsidR="00492CF6" w:rsidRPr="008E37C1" w:rsidRDefault="00492CF6" w:rsidP="00492CF6">
      <w:pPr>
        <w:pStyle w:val="PargrafodaLista1"/>
        <w:numPr>
          <w:ilvl w:val="1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eastAsia="pt-BR"/>
        </w:rPr>
      </w:pPr>
      <w:r w:rsidRPr="008E37C1">
        <w:rPr>
          <w:rFonts w:ascii="Trebuchet MS" w:hAnsi="Trebuchet MS" w:cstheme="minorHAnsi"/>
          <w:color w:val="000000" w:themeColor="text1"/>
          <w:sz w:val="24"/>
          <w:szCs w:val="24"/>
        </w:rPr>
        <w:t>Escreventes</w:t>
      </w:r>
    </w:p>
    <w:p w:rsidR="00492CF6" w:rsidRPr="008E37C1" w:rsidRDefault="00492CF6" w:rsidP="00492CF6">
      <w:pPr>
        <w:pStyle w:val="PargrafodaLista1"/>
        <w:numPr>
          <w:ilvl w:val="1"/>
          <w:numId w:val="2"/>
        </w:numPr>
        <w:spacing w:after="0" w:line="240" w:lineRule="auto"/>
        <w:ind w:left="1276" w:hanging="283"/>
        <w:contextualSpacing w:val="0"/>
        <w:jc w:val="both"/>
        <w:rPr>
          <w:rFonts w:ascii="Trebuchet MS" w:hAnsi="Trebuchet MS" w:cstheme="minorHAnsi"/>
          <w:color w:val="000000" w:themeColor="text1"/>
          <w:sz w:val="24"/>
          <w:szCs w:val="24"/>
          <w:lang w:eastAsia="pt-BR"/>
        </w:rPr>
      </w:pPr>
      <w:r w:rsidRPr="008E37C1">
        <w:rPr>
          <w:rFonts w:ascii="Trebuchet MS" w:hAnsi="Trebuchet MS" w:cstheme="minorHAnsi"/>
          <w:color w:val="000000" w:themeColor="text1"/>
          <w:sz w:val="24"/>
          <w:szCs w:val="24"/>
        </w:rPr>
        <w:t>Tecnologia da Informação TI;</w:t>
      </w:r>
    </w:p>
    <w:p w:rsidR="00492CF6" w:rsidRPr="008E37C1" w:rsidRDefault="00492CF6" w:rsidP="00492CF6">
      <w:pPr>
        <w:pStyle w:val="TextoN2"/>
        <w:ind w:left="0" w:firstLine="0"/>
        <w:rPr>
          <w:rFonts w:ascii="Trebuchet MS" w:hAnsi="Trebuchet MS"/>
          <w:sz w:val="24"/>
        </w:rPr>
      </w:pP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Quando o titular não puder assumir tal responsabilidade, deverá indicar um substituto para representá-lo o Setor.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lastRenderedPageBreak/>
        <w:t>O titular do Setor escolhido permanece compondo o CSI por um período máximo de 3 (três) anos, com o mandato podendo ser prorrogado por igual período.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As reuniões ordinárias do CSI devem ocorrer mensalmente no primeiro ano e bimestralmente, a partir do segundo ano, com período de convocação prévio de 5 (cinco)</w:t>
      </w:r>
      <w:r w:rsidRPr="008E37C1">
        <w:rPr>
          <w:rFonts w:ascii="Trebuchet MS" w:hAnsi="Trebuchet MS"/>
          <w:i/>
          <w:sz w:val="24"/>
          <w:szCs w:val="24"/>
        </w:rPr>
        <w:t xml:space="preserve"> </w:t>
      </w:r>
      <w:r w:rsidRPr="008E37C1">
        <w:rPr>
          <w:rFonts w:ascii="Trebuchet MS" w:hAnsi="Trebuchet MS"/>
          <w:sz w:val="24"/>
          <w:szCs w:val="24"/>
        </w:rPr>
        <w:t>dias.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As reuniões do CSI são formalmente abertas mediante a presença mínima de 3 (três) membros oficiais, física ou virtual, por meio de recursos de vídeo e áudio conferências. Reuniões extraordinárias podem ser realizadas sempre que necessário deliberar em regime de urgência sobre algum assunto de competência exclusiva do CSI, dispensada a necessidade de qualquer comunicação prévia ou de quórum mínimo.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Qualquer decisão deliberada pelo CSI deve ser sancionada mediante votação aberta com maioria simples de votos dos participantes presentes.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Os membros representantes do CSI têm igualdade de voz e voto, estando os gerentes que os nomearam cientes de que poderão assumir compromissos pela seu Setor.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Todas as deliberações e assuntos tratados em uma reunião do CSI deverão ser formalizadas em Ata de Reunião e disponibilizadas no repositório específico.</w:t>
      </w:r>
    </w:p>
    <w:p w:rsidR="00492CF6" w:rsidRPr="008E37C1" w:rsidRDefault="00492CF6" w:rsidP="00492CF6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Toda ausência dos membros do CSI às reuniões ordinárias e/ou extraordinárias deverão ser justificadas.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Em relação aos membros indicados, após três ausências não justificadas, em um mesmo ano, ele deverá ser afastado do CSI e substituído por outro colaborador do mesmo Setor e capaz de atender os requisitos.</w:t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napToGrid w:val="0"/>
          <w:sz w:val="24"/>
          <w:szCs w:val="24"/>
        </w:rPr>
      </w:pPr>
      <w:bookmarkStart w:id="9" w:name="_Toc29377101"/>
      <w:bookmarkStart w:id="10" w:name="_Toc56098283"/>
      <w:r w:rsidRPr="008E37C1">
        <w:rPr>
          <w:rFonts w:ascii="Trebuchet MS" w:hAnsi="Trebuchet MS"/>
          <w:snapToGrid w:val="0"/>
          <w:sz w:val="24"/>
          <w:szCs w:val="24"/>
        </w:rPr>
        <w:t>PAPÉIS E RESPONSABILIDADES DO CSI</w:t>
      </w:r>
      <w:bookmarkEnd w:id="9"/>
      <w:bookmarkEnd w:id="10"/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Complementarmente às responsabilidades gerais definidas no documento </w:t>
      </w:r>
      <w:r w:rsidRPr="008E37C1">
        <w:rPr>
          <w:rFonts w:ascii="Trebuchet MS" w:hAnsi="Trebuchet MS"/>
          <w:b/>
          <w:sz w:val="24"/>
          <w:szCs w:val="24"/>
        </w:rPr>
        <w:t>Política de Segurança da Informação</w:t>
      </w:r>
      <w:r w:rsidRPr="008E37C1">
        <w:rPr>
          <w:rFonts w:ascii="Trebuchet MS" w:hAnsi="Trebuchet MS"/>
          <w:sz w:val="24"/>
          <w:szCs w:val="24"/>
        </w:rPr>
        <w:t xml:space="preserve">, são </w:t>
      </w:r>
      <w:r w:rsidRPr="008E37C1">
        <w:rPr>
          <w:rFonts w:ascii="Trebuchet MS" w:hAnsi="Trebuchet MS"/>
          <w:sz w:val="24"/>
          <w:szCs w:val="24"/>
          <w:u w:val="single"/>
        </w:rPr>
        <w:t>responsabilidades</w:t>
      </w:r>
      <w:r w:rsidRPr="008E37C1">
        <w:rPr>
          <w:rFonts w:ascii="Trebuchet MS" w:hAnsi="Trebuchet MS"/>
          <w:sz w:val="24"/>
          <w:szCs w:val="24"/>
        </w:rPr>
        <w:t xml:space="preserve"> exclusivas do CSI: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Patrocinar a implantação local do SGSI;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Definir, mediante regulamentação, as penalidades aplicáveis nos casos de descumprimento da PSI e/ou demais instrumentos regulamentares complementares a </w:t>
      </w:r>
      <w:bookmarkEnd w:id="6"/>
      <w:r w:rsidRPr="008E37C1">
        <w:rPr>
          <w:rFonts w:ascii="Trebuchet MS" w:hAnsi="Trebuchet MS"/>
          <w:sz w:val="24"/>
          <w:szCs w:val="24"/>
        </w:rPr>
        <w:t>ela;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Atualizar e revisar a PSI, e os demais instrumentos regulamentares complementares;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Decidir sobre casos de Segurança da Informação, proteção de dados, privacidade e violação de dados pessoais, que não estejam expressamente previstos na PSI e seus normativos complementares;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Propor melhorias à estratégia de conscientização dos colaboradores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em segurança da informação e privacidade;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lastRenderedPageBreak/>
        <w:t>Propor melhorias à estratégia preventiva e reativa de resposta aos incidentes de Segurança da Informação, incluindo a composição dos times especializados de análise e solução, além de processos formais de contingência operacional, continuidade de negócios e recuperação de desastres, nos termos dos procedimentos formais que lhes sejam aplicáveis;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Publicar a PSI e os demais instrumentos regulamentares complementares, bem como acompanhar seu devido cumprimento, inclusive auxiliando e orientando os gerentes dos Setores;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Desenvolver o material e realizar as atividades de conscientização local dos colaboradores nos termos da estratégia de educação definida, assim como fornecer os esclarecimentos solicitados pelos colaboradores em relação aos instrumentos formais e controles;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Investigar incidentes de Segurança da Informação e violação de dados pessoais que ocorreram nos ambientes físicos e/ou lógicos do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serventia];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Representar 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 xml:space="preserve"> em todas as questões relacionadas à tecnologia.</w:t>
      </w:r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Definir planos de ações corretivas e preventivas com o objetivo de mitigar os riscos de recorrência dos incidentes de Segurança da Informação.</w:t>
      </w:r>
    </w:p>
    <w:p w:rsidR="00492CF6" w:rsidRPr="008E37C1" w:rsidRDefault="00492CF6" w:rsidP="00492CF6">
      <w:pPr>
        <w:pStyle w:val="Ttulo1"/>
        <w:jc w:val="both"/>
        <w:rPr>
          <w:rFonts w:ascii="Trebuchet MS" w:hAnsi="Trebuchet MS"/>
          <w:snapToGrid w:val="0"/>
          <w:sz w:val="24"/>
          <w:szCs w:val="24"/>
        </w:rPr>
      </w:pPr>
      <w:bookmarkStart w:id="11" w:name="_Toc406439647"/>
      <w:bookmarkStart w:id="12" w:name="_Toc29377102"/>
      <w:bookmarkStart w:id="13" w:name="_Toc56098284"/>
      <w:bookmarkStart w:id="14" w:name="_Toc304301670"/>
      <w:r w:rsidRPr="008E37C1">
        <w:rPr>
          <w:rFonts w:ascii="Trebuchet MS" w:hAnsi="Trebuchet MS"/>
          <w:snapToGrid w:val="0"/>
          <w:sz w:val="24"/>
          <w:szCs w:val="24"/>
        </w:rPr>
        <w:t>DISPOSIÇÕES FINAIS</w:t>
      </w:r>
      <w:bookmarkEnd w:id="11"/>
      <w:bookmarkEnd w:id="12"/>
      <w:bookmarkEnd w:id="13"/>
    </w:p>
    <w:p w:rsidR="00492CF6" w:rsidRPr="008E37C1" w:rsidRDefault="00492CF6" w:rsidP="00492CF6">
      <w:pPr>
        <w:ind w:firstLine="454"/>
        <w:jc w:val="both"/>
        <w:rPr>
          <w:rFonts w:ascii="Trebuchet MS" w:hAnsi="Trebuchet MS"/>
          <w:sz w:val="24"/>
          <w:szCs w:val="24"/>
        </w:rPr>
      </w:pPr>
      <w:bookmarkStart w:id="15" w:name="_Toc358640664"/>
      <w:bookmarkStart w:id="16" w:name="_Toc358651097"/>
      <w:bookmarkStart w:id="17" w:name="_Toc358991128"/>
      <w:bookmarkStart w:id="18" w:name="_Toc359871381"/>
      <w:bookmarkStart w:id="19" w:name="_Toc377549863"/>
      <w:bookmarkStart w:id="20" w:name="_Toc377993813"/>
      <w:bookmarkStart w:id="21" w:name="_Toc377997377"/>
      <w:bookmarkStart w:id="22" w:name="_Toc399340596"/>
      <w:bookmarkStart w:id="23" w:name="_Toc399343048"/>
      <w:bookmarkStart w:id="24" w:name="_Toc400473932"/>
      <w:bookmarkStart w:id="25" w:name="_Toc358640665"/>
      <w:bookmarkStart w:id="26" w:name="_Toc358651098"/>
      <w:bookmarkStart w:id="27" w:name="_Toc358991129"/>
      <w:bookmarkStart w:id="28" w:name="_Toc359871382"/>
      <w:bookmarkStart w:id="29" w:name="_Toc377549864"/>
      <w:bookmarkStart w:id="30" w:name="_Toc377993814"/>
      <w:bookmarkStart w:id="31" w:name="_Toc378004433"/>
      <w:bookmarkStart w:id="32" w:name="_Toc385261414"/>
      <w:r w:rsidRPr="008E37C1">
        <w:rPr>
          <w:rFonts w:ascii="Trebuchet MS" w:hAnsi="Trebuchet MS"/>
          <w:sz w:val="24"/>
          <w:szCs w:val="24"/>
        </w:rPr>
        <w:t xml:space="preserve">O presente documento deve ser lido e interpretado sob a égide das leis brasileiras, no idioma português, em conjunto com a Política e outras Normas e Procedimentos aplicáveis e relevantes adotados pelo </w:t>
      </w:r>
      <w:r w:rsidRPr="008E37C1">
        <w:rPr>
          <w:rFonts w:ascii="Trebuchet MS" w:hAnsi="Trebuchet MS"/>
          <w:sz w:val="24"/>
          <w:szCs w:val="24"/>
          <w:highlight w:val="yellow"/>
        </w:rPr>
        <w:t>[Nome completo da serventia]</w:t>
      </w:r>
      <w:r w:rsidRPr="008E37C1">
        <w:rPr>
          <w:rFonts w:ascii="Trebuchet MS" w:hAnsi="Trebuchet MS"/>
          <w:sz w:val="24"/>
          <w:szCs w:val="24"/>
        </w:rPr>
        <w:t>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92CF6" w:rsidRPr="008E37C1" w:rsidRDefault="00492CF6" w:rsidP="00492CF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92CF6" w:rsidRPr="008E37C1" w:rsidRDefault="00492CF6" w:rsidP="00492CF6">
      <w:pPr>
        <w:spacing w:after="0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São Paulo</w:t>
      </w:r>
      <w:r w:rsidRPr="008E37C1">
        <w:rPr>
          <w:rFonts w:ascii="Trebuchet MS" w:hAnsi="Trebuchet MS"/>
          <w:sz w:val="24"/>
          <w:szCs w:val="24"/>
          <w:highlight w:val="yellow"/>
        </w:rPr>
        <w:t>, [Data].</w:t>
      </w:r>
    </w:p>
    <w:p w:rsidR="00492CF6" w:rsidRPr="008E37C1" w:rsidRDefault="00492CF6" w:rsidP="00492CF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92CF6" w:rsidRPr="008E37C1" w:rsidRDefault="00492CF6" w:rsidP="00492CF6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92CF6" w:rsidRPr="008E37C1" w:rsidRDefault="00492CF6" w:rsidP="00492CF6">
      <w:pPr>
        <w:spacing w:after="0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Aprovado por: __________________________________________</w:t>
      </w:r>
    </w:p>
    <w:p w:rsidR="00492CF6" w:rsidRPr="008E37C1" w:rsidRDefault="00492CF6" w:rsidP="00492CF6">
      <w:pPr>
        <w:jc w:val="center"/>
        <w:rPr>
          <w:rFonts w:ascii="Trebuchet MS" w:hAnsi="Trebuchet MS"/>
          <w:b/>
          <w:sz w:val="24"/>
          <w:szCs w:val="24"/>
        </w:rPr>
      </w:pPr>
      <w:r w:rsidRPr="008E37C1">
        <w:rPr>
          <w:rFonts w:ascii="Trebuchet MS" w:hAnsi="Trebuchet MS"/>
          <w:b/>
          <w:sz w:val="24"/>
          <w:szCs w:val="24"/>
          <w:highlight w:val="yellow"/>
        </w:rPr>
        <w:t>[Nome completo do Tabelião]</w:t>
      </w:r>
    </w:p>
    <w:p w:rsidR="00492CF6" w:rsidRPr="008E37C1" w:rsidRDefault="00492CF6" w:rsidP="00492CF6">
      <w:pPr>
        <w:jc w:val="both"/>
        <w:rPr>
          <w:rFonts w:ascii="Trebuchet MS" w:hAnsi="Trebuchet MS"/>
          <w:sz w:val="24"/>
          <w:szCs w:val="24"/>
        </w:rPr>
      </w:pPr>
    </w:p>
    <w:p w:rsidR="00B17303" w:rsidRPr="00492CF6" w:rsidRDefault="00B17303" w:rsidP="00492CF6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33" w:name="_GoBack"/>
      <w:bookmarkEnd w:id="33"/>
    </w:p>
    <w:sectPr w:rsidR="00B17303" w:rsidRPr="0049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E3260"/>
    <w:multiLevelType w:val="multilevel"/>
    <w:tmpl w:val="B08EE5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  <w:spacing w:val="-2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F6"/>
    <w:rsid w:val="00013D3D"/>
    <w:rsid w:val="002468B3"/>
    <w:rsid w:val="003645B1"/>
    <w:rsid w:val="003F4AA3"/>
    <w:rsid w:val="004258DC"/>
    <w:rsid w:val="00492CF6"/>
    <w:rsid w:val="00664607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D715"/>
  <w15:chartTrackingRefBased/>
  <w15:docId w15:val="{95594639-E7D0-4415-9F15-8EDE9FF0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F6"/>
  </w:style>
  <w:style w:type="paragraph" w:styleId="Ttulo1">
    <w:name w:val="heading 1"/>
    <w:basedOn w:val="Normal"/>
    <w:next w:val="Normal"/>
    <w:link w:val="Ttulo1Char"/>
    <w:uiPriority w:val="9"/>
    <w:qFormat/>
    <w:rsid w:val="00492CF6"/>
    <w:pPr>
      <w:numPr>
        <w:numId w:val="1"/>
      </w:numPr>
      <w:spacing w:after="200" w:line="276" w:lineRule="auto"/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2CF6"/>
    <w:pPr>
      <w:numPr>
        <w:ilvl w:val="1"/>
        <w:numId w:val="1"/>
      </w:numPr>
      <w:spacing w:after="200" w:line="276" w:lineRule="auto"/>
      <w:outlineLvl w:val="1"/>
    </w:pPr>
    <w:rPr>
      <w:rFonts w:ascii="Calibri" w:eastAsia="Calibri" w:hAnsi="Calibri" w:cs="Times New Roman"/>
      <w:b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2CF6"/>
    <w:pPr>
      <w:numPr>
        <w:ilvl w:val="2"/>
        <w:numId w:val="1"/>
      </w:numPr>
      <w:spacing w:after="200" w:line="276" w:lineRule="auto"/>
      <w:outlineLvl w:val="2"/>
    </w:pPr>
    <w:rPr>
      <w:rFonts w:ascii="Calibri" w:eastAsia="Calibri" w:hAnsi="Calibri" w:cs="Times New Roman"/>
      <w:b/>
      <w:i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2CF6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492CF6"/>
    <w:rPr>
      <w:rFonts w:ascii="Calibri" w:eastAsia="Calibri" w:hAnsi="Calibri" w:cs="Times New Roman"/>
      <w:b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492CF6"/>
    <w:rPr>
      <w:rFonts w:ascii="Calibri" w:eastAsia="Calibri" w:hAnsi="Calibri" w:cs="Times New Roman"/>
      <w:b/>
      <w:i/>
      <w:lang w:val="en-GB"/>
    </w:rPr>
  </w:style>
  <w:style w:type="character" w:customStyle="1" w:styleId="mw-headline">
    <w:name w:val="mw-headline"/>
    <w:basedOn w:val="Fontepargpadro"/>
    <w:rsid w:val="00492CF6"/>
  </w:style>
  <w:style w:type="character" w:styleId="Hyperlink">
    <w:name w:val="Hyperlink"/>
    <w:uiPriority w:val="99"/>
    <w:unhideWhenUsed/>
    <w:rsid w:val="00492CF6"/>
    <w:rPr>
      <w:color w:val="0000FF"/>
      <w:u w:val="single"/>
      <w:lang w:val="en-GB"/>
    </w:rPr>
  </w:style>
  <w:style w:type="paragraph" w:styleId="Sumrio1">
    <w:name w:val="toc 1"/>
    <w:basedOn w:val="Normal"/>
    <w:next w:val="Normal"/>
    <w:autoRedefine/>
    <w:uiPriority w:val="39"/>
    <w:unhideWhenUsed/>
    <w:rsid w:val="00492CF6"/>
    <w:pPr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492CF6"/>
    <w:pPr>
      <w:spacing w:before="120"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oN2">
    <w:name w:val="Texto N2"/>
    <w:basedOn w:val="Normal"/>
    <w:link w:val="TextoN2Char"/>
    <w:qFormat/>
    <w:rsid w:val="00492CF6"/>
    <w:pPr>
      <w:spacing w:after="0" w:line="360" w:lineRule="auto"/>
      <w:ind w:left="1644" w:hanging="680"/>
      <w:jc w:val="both"/>
    </w:pPr>
    <w:rPr>
      <w:rFonts w:ascii="Calibri" w:eastAsia="Calibri" w:hAnsi="Calibri" w:cs="Times New Roman"/>
      <w:sz w:val="20"/>
      <w:szCs w:val="24"/>
    </w:rPr>
  </w:style>
  <w:style w:type="character" w:customStyle="1" w:styleId="TextoN2Char">
    <w:name w:val="Texto N2 Char"/>
    <w:basedOn w:val="Fontepargpadro"/>
    <w:link w:val="TextoN2"/>
    <w:rsid w:val="00492CF6"/>
    <w:rPr>
      <w:rFonts w:ascii="Calibri" w:eastAsia="Calibri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2020-11-20T13:55:00Z</dcterms:created>
  <dcterms:modified xsi:type="dcterms:W3CDTF">2020-11-20T13:56:00Z</dcterms:modified>
</cp:coreProperties>
</file>